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29" w:rsidRDefault="008F6129" w:rsidP="008F612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8F6129">
        <w:rPr>
          <w:sz w:val="20"/>
          <w:szCs w:val="20"/>
        </w:rPr>
        <w:t xml:space="preserve">Топографические условные знаки принято разделять </w:t>
      </w:r>
      <w:proofErr w:type="gramStart"/>
      <w:r w:rsidRPr="008F6129">
        <w:rPr>
          <w:sz w:val="20"/>
          <w:szCs w:val="20"/>
        </w:rPr>
        <w:t>на</w:t>
      </w:r>
      <w:proofErr w:type="gramEnd"/>
      <w:r w:rsidRPr="008F6129">
        <w:rPr>
          <w:rStyle w:val="apple-converted-space"/>
          <w:sz w:val="20"/>
          <w:szCs w:val="20"/>
        </w:rPr>
        <w:t> </w:t>
      </w:r>
      <w:r w:rsidRPr="008F6129">
        <w:rPr>
          <w:rStyle w:val="a4"/>
          <w:sz w:val="20"/>
          <w:szCs w:val="20"/>
        </w:rPr>
        <w:t>масштабные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sz w:val="20"/>
          <w:szCs w:val="20"/>
        </w:rPr>
        <w:t>(или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rStyle w:val="a4"/>
          <w:sz w:val="20"/>
          <w:szCs w:val="20"/>
        </w:rPr>
        <w:t>площадные</w:t>
      </w:r>
      <w:r w:rsidRPr="008F6129">
        <w:rPr>
          <w:sz w:val="20"/>
          <w:szCs w:val="20"/>
        </w:rPr>
        <w:t>),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rStyle w:val="a4"/>
          <w:sz w:val="20"/>
          <w:szCs w:val="20"/>
        </w:rPr>
        <w:t>внемасштабные</w:t>
      </w:r>
      <w:r w:rsidRPr="008F6129">
        <w:rPr>
          <w:sz w:val="20"/>
          <w:szCs w:val="20"/>
        </w:rPr>
        <w:t>,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rStyle w:val="a4"/>
          <w:sz w:val="20"/>
          <w:szCs w:val="20"/>
        </w:rPr>
        <w:t>линейные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8F6129">
        <w:rPr>
          <w:rStyle w:val="a4"/>
          <w:sz w:val="20"/>
          <w:szCs w:val="20"/>
        </w:rPr>
        <w:t>пояснительные</w:t>
      </w:r>
      <w:r w:rsidRPr="008F6129">
        <w:rPr>
          <w:sz w:val="20"/>
          <w:szCs w:val="20"/>
        </w:rPr>
        <w:t>.</w:t>
      </w:r>
    </w:p>
    <w:p w:rsidR="008F6129" w:rsidRPr="008F6129" w:rsidRDefault="008F6129" w:rsidP="008F612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8F6129" w:rsidRPr="008F6129" w:rsidRDefault="008F6129" w:rsidP="008F612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F6129">
        <w:rPr>
          <w:rStyle w:val="a5"/>
          <w:i/>
          <w:iCs/>
          <w:sz w:val="20"/>
          <w:szCs w:val="20"/>
        </w:rPr>
        <w:t>Масштабные</w:t>
      </w:r>
      <w:r w:rsidRPr="008F6129">
        <w:rPr>
          <w:sz w:val="20"/>
          <w:szCs w:val="20"/>
        </w:rPr>
        <w:t>, или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rStyle w:val="a4"/>
          <w:b/>
          <w:bCs/>
          <w:sz w:val="20"/>
          <w:szCs w:val="20"/>
        </w:rPr>
        <w:t>площадные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sz w:val="20"/>
          <w:szCs w:val="20"/>
        </w:rPr>
        <w:t>условные знаки служат для изображения таких топографических объектов, занимающих значительную площадь и размеры которых в плане могут быть выражены в</w:t>
      </w:r>
      <w:r w:rsidRPr="008F6129">
        <w:rPr>
          <w:sz w:val="20"/>
          <w:szCs w:val="20"/>
        </w:rPr>
        <w:t xml:space="preserve"> масштабе </w:t>
      </w:r>
      <w:r w:rsidRPr="008F6129">
        <w:rPr>
          <w:sz w:val="20"/>
          <w:szCs w:val="20"/>
        </w:rPr>
        <w:t xml:space="preserve">данной карты или плана. Площадной условный знак состоит из знака границы объекта и заполняющих его знаков или условной окраски. </w:t>
      </w:r>
      <w:proofErr w:type="gramStart"/>
      <w:r w:rsidRPr="008F6129">
        <w:rPr>
          <w:sz w:val="20"/>
          <w:szCs w:val="20"/>
        </w:rPr>
        <w:t>Контур объекта показывается точечным пунктиром (контур леса, луга, болота), сплошной линией (контур водоема, населенного пункта) или условным знаком соответствующей границы (канавы, изгороди).</w:t>
      </w:r>
      <w:proofErr w:type="gramEnd"/>
      <w:r w:rsidRPr="008F6129">
        <w:rPr>
          <w:sz w:val="20"/>
          <w:szCs w:val="20"/>
        </w:rPr>
        <w:t xml:space="preserve"> Заполняющие знаки располагаются внутри контура в определенном порядке (произвольно, в шахматном порядке, горизонтальными и вертикальными рядами). Площадные условные знаки позволяют не только найти расположение объекта, но и оценить его линейные размеры, площадь и очертания.</w:t>
      </w:r>
    </w:p>
    <w:p w:rsidR="008F6129" w:rsidRPr="008F6129" w:rsidRDefault="008F6129" w:rsidP="008F612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F6129">
        <w:rPr>
          <w:rStyle w:val="a4"/>
          <w:b/>
          <w:bCs/>
          <w:sz w:val="20"/>
          <w:szCs w:val="20"/>
        </w:rPr>
        <w:t>Внемасштабные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sz w:val="20"/>
          <w:szCs w:val="20"/>
        </w:rPr>
        <w:t xml:space="preserve">условные знаки используются для передачи объектов, не выражающихся в масштабе карты. Эти знаки не позволяют судить о размерах изображаемых местных предметов. Положению предмета на местности соответствует определенная точка знака. </w:t>
      </w:r>
      <w:proofErr w:type="gramStart"/>
      <w:r w:rsidRPr="008F6129">
        <w:rPr>
          <w:sz w:val="20"/>
          <w:szCs w:val="20"/>
        </w:rPr>
        <w:t>Например, для знака правильной формы (например, треугольника, обозначающего пункт геодезической сети, круга – цистерну, скважину) – центр фигуры; для знака в виде перспективного рисунка объекта (фабричная труба, монумент) – середина основания фигуры; для знака с прямым углом в основании (ветряной двигатель, бензоколонка) – вершина этого угла; для знака, сочетающего несколько фигур (радиомачта, нефтяная вышка), – центр нижней из них.</w:t>
      </w:r>
      <w:proofErr w:type="gramEnd"/>
      <w:r w:rsidRPr="008F6129">
        <w:rPr>
          <w:sz w:val="20"/>
          <w:szCs w:val="20"/>
        </w:rPr>
        <w:t xml:space="preserve"> Следует учесть, что одни и те же местные предметы на картах или планах крупных масштабов могут быть выражены площадными (масштабными) условными знаками, а на картах мелких масштабов – внемасштабными условными знаками.</w:t>
      </w:r>
    </w:p>
    <w:p w:rsidR="008F6129" w:rsidRPr="008F6129" w:rsidRDefault="008F6129" w:rsidP="008F612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F6129">
        <w:rPr>
          <w:rStyle w:val="a4"/>
          <w:b/>
          <w:bCs/>
          <w:sz w:val="20"/>
          <w:szCs w:val="20"/>
        </w:rPr>
        <w:t>Линейные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sz w:val="20"/>
          <w:szCs w:val="20"/>
        </w:rPr>
        <w:t>условные знаки предназначены для изображения протяженных объектов на местности, например железные и автомобильные дороги, просеки, линии электропередач, ручьи, границы и другие. Они занимают промежуточное положение между масштабными и внемасштабными условными знаками. Длина таких объектов выражается в масштабе карты, а ширина на карте – вне масштаба. Обычно она получается больше ширины изображаемого объекта местности, а его положению соответствует продольная ось условного знака. Линейными топографическими условными знаками изображаются также горизонтали.</w:t>
      </w:r>
    </w:p>
    <w:p w:rsidR="008F6129" w:rsidRPr="008F6129" w:rsidRDefault="008F6129" w:rsidP="008F612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F6129">
        <w:rPr>
          <w:rStyle w:val="a5"/>
          <w:i/>
          <w:iCs/>
          <w:sz w:val="20"/>
          <w:szCs w:val="20"/>
        </w:rPr>
        <w:t>Пояснительные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sz w:val="20"/>
          <w:szCs w:val="20"/>
        </w:rPr>
        <w:t>условные знаки применяются в целях дополнительной характеристики показываемых на карте местных предметов. Например, длина, ширина и грузоподъемность моста, ширина и характер покрытия дорог, средняя толщина и высота деревьев в лесу, глубина и характер грунта брода и т. д. Различные надписи и собственные названия объектов на картах также носят пояснительный характер; каждая из них выполняется установленным шрифтом и буквами определенного размера.</w:t>
      </w:r>
    </w:p>
    <w:p w:rsidR="00F7663C" w:rsidRDefault="00F7663C" w:rsidP="008F6129">
      <w:pPr>
        <w:rPr>
          <w:rFonts w:ascii="Times New Roman" w:hAnsi="Times New Roman" w:cs="Times New Roman"/>
        </w:rPr>
      </w:pPr>
    </w:p>
    <w:p w:rsidR="008F6129" w:rsidRDefault="008F6129" w:rsidP="008F6129">
      <w:pPr>
        <w:rPr>
          <w:rFonts w:ascii="Times New Roman" w:hAnsi="Times New Roman" w:cs="Times New Roman"/>
        </w:rPr>
      </w:pPr>
    </w:p>
    <w:p w:rsidR="008F6129" w:rsidRDefault="008F6129" w:rsidP="008F612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8F6129">
        <w:rPr>
          <w:sz w:val="20"/>
          <w:szCs w:val="20"/>
        </w:rPr>
        <w:t xml:space="preserve">Топографические условные знаки принято разделять </w:t>
      </w:r>
      <w:proofErr w:type="gramStart"/>
      <w:r w:rsidRPr="008F6129">
        <w:rPr>
          <w:sz w:val="20"/>
          <w:szCs w:val="20"/>
        </w:rPr>
        <w:t>на</w:t>
      </w:r>
      <w:proofErr w:type="gramEnd"/>
      <w:r w:rsidRPr="008F6129">
        <w:rPr>
          <w:rStyle w:val="apple-converted-space"/>
          <w:sz w:val="20"/>
          <w:szCs w:val="20"/>
        </w:rPr>
        <w:t> </w:t>
      </w:r>
      <w:r w:rsidRPr="008F6129">
        <w:rPr>
          <w:rStyle w:val="a4"/>
          <w:sz w:val="20"/>
          <w:szCs w:val="20"/>
        </w:rPr>
        <w:t>масштабные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sz w:val="20"/>
          <w:szCs w:val="20"/>
        </w:rPr>
        <w:t>(или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rStyle w:val="a4"/>
          <w:sz w:val="20"/>
          <w:szCs w:val="20"/>
        </w:rPr>
        <w:t>площадные</w:t>
      </w:r>
      <w:r w:rsidRPr="008F6129">
        <w:rPr>
          <w:sz w:val="20"/>
          <w:szCs w:val="20"/>
        </w:rPr>
        <w:t>),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rStyle w:val="a4"/>
          <w:sz w:val="20"/>
          <w:szCs w:val="20"/>
        </w:rPr>
        <w:t>внемасштабные</w:t>
      </w:r>
      <w:r w:rsidRPr="008F6129">
        <w:rPr>
          <w:sz w:val="20"/>
          <w:szCs w:val="20"/>
        </w:rPr>
        <w:t>,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rStyle w:val="a4"/>
          <w:sz w:val="20"/>
          <w:szCs w:val="20"/>
        </w:rPr>
        <w:t>линейные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8F6129">
        <w:rPr>
          <w:rStyle w:val="a4"/>
          <w:sz w:val="20"/>
          <w:szCs w:val="20"/>
        </w:rPr>
        <w:t>пояснительные</w:t>
      </w:r>
      <w:r w:rsidRPr="008F6129">
        <w:rPr>
          <w:sz w:val="20"/>
          <w:szCs w:val="20"/>
        </w:rPr>
        <w:t>.</w:t>
      </w:r>
    </w:p>
    <w:p w:rsidR="008F6129" w:rsidRPr="008F6129" w:rsidRDefault="008F6129" w:rsidP="008F612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8F6129" w:rsidRPr="008F6129" w:rsidRDefault="008F6129" w:rsidP="008F612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F6129">
        <w:rPr>
          <w:rStyle w:val="a5"/>
          <w:i/>
          <w:iCs/>
          <w:sz w:val="20"/>
          <w:szCs w:val="20"/>
        </w:rPr>
        <w:t>Масштабные</w:t>
      </w:r>
      <w:r w:rsidRPr="008F6129">
        <w:rPr>
          <w:sz w:val="20"/>
          <w:szCs w:val="20"/>
        </w:rPr>
        <w:t>, или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rStyle w:val="a4"/>
          <w:b/>
          <w:bCs/>
          <w:sz w:val="20"/>
          <w:szCs w:val="20"/>
        </w:rPr>
        <w:t>площадные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sz w:val="20"/>
          <w:szCs w:val="20"/>
        </w:rPr>
        <w:t xml:space="preserve">условные знаки служат для изображения таких топографических объектов, занимающих значительную площадь и размеры которых в плане могут быть выражены в масштабе данной карты или плана. Площадной условный знак состоит из знака границы объекта и заполняющих его знаков или условной окраски. </w:t>
      </w:r>
      <w:proofErr w:type="gramStart"/>
      <w:r w:rsidRPr="008F6129">
        <w:rPr>
          <w:sz w:val="20"/>
          <w:szCs w:val="20"/>
        </w:rPr>
        <w:t>Контур объекта показывается точечным пунктиром (контур леса, луга, болота), сплошной линией (контур водоема, населенного пункта) или условным знаком соответствующей границы (канавы, изгороди).</w:t>
      </w:r>
      <w:proofErr w:type="gramEnd"/>
      <w:r w:rsidRPr="008F6129">
        <w:rPr>
          <w:sz w:val="20"/>
          <w:szCs w:val="20"/>
        </w:rPr>
        <w:t xml:space="preserve"> Заполняющие знаки располагаются внутри контура в определенном порядке (произвольно, в шахматном порядке, горизонтальными и вертикальными рядами). Площадные условные знаки позволяют не только найти расположение объекта, но и оценить его линейные размеры, площадь и очертания.</w:t>
      </w:r>
    </w:p>
    <w:p w:rsidR="008F6129" w:rsidRPr="008F6129" w:rsidRDefault="008F6129" w:rsidP="008F612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F6129">
        <w:rPr>
          <w:rStyle w:val="a4"/>
          <w:b/>
          <w:bCs/>
          <w:sz w:val="20"/>
          <w:szCs w:val="20"/>
        </w:rPr>
        <w:t>Внемасштабные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sz w:val="20"/>
          <w:szCs w:val="20"/>
        </w:rPr>
        <w:t xml:space="preserve">условные знаки используются для передачи объектов, не выражающихся в масштабе карты. Эти знаки не позволяют судить о размерах изображаемых местных предметов. Положению предмета на местности соответствует определенная точка знака. </w:t>
      </w:r>
      <w:proofErr w:type="gramStart"/>
      <w:r w:rsidRPr="008F6129">
        <w:rPr>
          <w:sz w:val="20"/>
          <w:szCs w:val="20"/>
        </w:rPr>
        <w:t>Например, для знака правильной формы (например, треугольника, обозначающего пункт геодезической сети, круга – цистерну, скважину) – центр фигуры; для знака в виде перспективного рисунка объекта (фабричная труба, монумент) – середина основания фигуры; для знака с прямым углом в основании (ветряной двигатель, бензоколонка) – вершина этого угла; для знака, сочетающего несколько фигур (радиомачта, нефтяная вышка), – центр нижней из них.</w:t>
      </w:r>
      <w:proofErr w:type="gramEnd"/>
      <w:r w:rsidRPr="008F6129">
        <w:rPr>
          <w:sz w:val="20"/>
          <w:szCs w:val="20"/>
        </w:rPr>
        <w:t xml:space="preserve"> Следует учесть, что одни и те же местные предметы на картах или планах крупных масштабов могут быть выражены площадными (масштабными) условными знаками, а на картах мелких масштабов – внемасштабными условными знаками.</w:t>
      </w:r>
    </w:p>
    <w:p w:rsidR="008F6129" w:rsidRPr="008F6129" w:rsidRDefault="008F6129" w:rsidP="008F612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F6129">
        <w:rPr>
          <w:rStyle w:val="a4"/>
          <w:b/>
          <w:bCs/>
          <w:sz w:val="20"/>
          <w:szCs w:val="20"/>
        </w:rPr>
        <w:t>Линейные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sz w:val="20"/>
          <w:szCs w:val="20"/>
        </w:rPr>
        <w:t>условные знаки предназначены для изображения протяженных объектов на местности, например железные и автомобильные дороги, просеки, линии электропередач, ручьи, границы и другие. Они занимают промежуточное положение между масштабными и внемасштабными условными знаками. Длина таких объектов выражается в масштабе карты, а ширина на карте – вне масштаба. Обычно она получается больше ширины изображаемого объекта местности, а его положению соответствует продольная ось условного знака. Линейными топографическими условными знаками изображаются также горизонтали.</w:t>
      </w:r>
    </w:p>
    <w:p w:rsidR="008F6129" w:rsidRPr="008F6129" w:rsidRDefault="008F6129" w:rsidP="008F6129">
      <w:pPr>
        <w:pStyle w:val="a3"/>
        <w:spacing w:before="0" w:beforeAutospacing="0" w:after="0" w:afterAutospacing="0"/>
        <w:jc w:val="both"/>
      </w:pPr>
      <w:r w:rsidRPr="008F6129">
        <w:rPr>
          <w:rStyle w:val="a5"/>
          <w:i/>
          <w:iCs/>
          <w:sz w:val="20"/>
          <w:szCs w:val="20"/>
        </w:rPr>
        <w:t>Пояснительные</w:t>
      </w:r>
      <w:r w:rsidRPr="008F6129">
        <w:rPr>
          <w:rStyle w:val="apple-converted-space"/>
          <w:sz w:val="20"/>
          <w:szCs w:val="20"/>
        </w:rPr>
        <w:t> </w:t>
      </w:r>
      <w:r w:rsidRPr="008F6129">
        <w:rPr>
          <w:sz w:val="20"/>
          <w:szCs w:val="20"/>
        </w:rPr>
        <w:t>условные знаки применяются в целях дополнительной характеристики показываемых на карте местных предметов. Например, длина, ширина и грузоподъемность моста, ширина и характер покрытия дорог, средняя толщина и высота деревьев в лесу, глубина и характер грунта брода и т. д. Различные надписи и собственные названия объектов на картах также носят пояснительный характер; каждая из них выполняется установленным шрифтом и буквами определенного размера.</w:t>
      </w:r>
    </w:p>
    <w:sectPr w:rsidR="008F6129" w:rsidRPr="008F6129" w:rsidSect="008F612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29"/>
    <w:rsid w:val="008F6129"/>
    <w:rsid w:val="00F7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1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129"/>
  </w:style>
  <w:style w:type="character" w:styleId="a4">
    <w:name w:val="Emphasis"/>
    <w:basedOn w:val="a0"/>
    <w:uiPriority w:val="20"/>
    <w:qFormat/>
    <w:rsid w:val="008F6129"/>
    <w:rPr>
      <w:i/>
      <w:iCs/>
    </w:rPr>
  </w:style>
  <w:style w:type="character" w:styleId="a5">
    <w:name w:val="Strong"/>
    <w:basedOn w:val="a0"/>
    <w:uiPriority w:val="22"/>
    <w:qFormat/>
    <w:rsid w:val="008F6129"/>
    <w:rPr>
      <w:b/>
      <w:bCs/>
    </w:rPr>
  </w:style>
  <w:style w:type="character" w:styleId="a6">
    <w:name w:val="Hyperlink"/>
    <w:basedOn w:val="a0"/>
    <w:uiPriority w:val="99"/>
    <w:semiHidden/>
    <w:unhideWhenUsed/>
    <w:rsid w:val="008F6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1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129"/>
  </w:style>
  <w:style w:type="character" w:styleId="a4">
    <w:name w:val="Emphasis"/>
    <w:basedOn w:val="a0"/>
    <w:uiPriority w:val="20"/>
    <w:qFormat/>
    <w:rsid w:val="008F6129"/>
    <w:rPr>
      <w:i/>
      <w:iCs/>
    </w:rPr>
  </w:style>
  <w:style w:type="character" w:styleId="a5">
    <w:name w:val="Strong"/>
    <w:basedOn w:val="a0"/>
    <w:uiPriority w:val="22"/>
    <w:qFormat/>
    <w:rsid w:val="008F6129"/>
    <w:rPr>
      <w:b/>
      <w:bCs/>
    </w:rPr>
  </w:style>
  <w:style w:type="character" w:styleId="a6">
    <w:name w:val="Hyperlink"/>
    <w:basedOn w:val="a0"/>
    <w:uiPriority w:val="99"/>
    <w:semiHidden/>
    <w:unhideWhenUsed/>
    <w:rsid w:val="008F6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Ожогина Ирина Витальевна</dc:creator>
  <cp:lastModifiedBy>Ожогина Ирина Витальевна</cp:lastModifiedBy>
  <cp:revision>1</cp:revision>
  <dcterms:created xsi:type="dcterms:W3CDTF">2012-10-09T06:54:00Z</dcterms:created>
  <dcterms:modified xsi:type="dcterms:W3CDTF">2012-10-09T06:58:00Z</dcterms:modified>
</cp:coreProperties>
</file>